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74" w:rsidRDefault="00407874" w:rsidP="00407874">
      <w:pPr>
        <w:ind w:firstLine="426"/>
        <w:jc w:val="both"/>
      </w:pPr>
      <w:r>
        <w:t>УДК 044.77</w:t>
      </w:r>
    </w:p>
    <w:p w:rsidR="00407874" w:rsidRDefault="00407874" w:rsidP="00407874">
      <w:pPr>
        <w:ind w:firstLine="426"/>
        <w:jc w:val="center"/>
      </w:pPr>
      <w:r>
        <w:t>ПРОБЛЕМА ИНТЕРОПЕРАБЕЛЬНОСТИ В ПЛАТФОРМЕ INDUSTRY4.0.  И СМЕЖНЫХ ОБЛАСТЯХ</w:t>
      </w:r>
    </w:p>
    <w:p w:rsidR="00407874" w:rsidRDefault="00407874" w:rsidP="00407874">
      <w:pPr>
        <w:ind w:firstLine="426"/>
        <w:jc w:val="both"/>
      </w:pPr>
      <w:r>
        <w:t xml:space="preserve"> Олейников А.Я. </w:t>
      </w:r>
    </w:p>
    <w:p w:rsidR="00407874" w:rsidRDefault="00407874" w:rsidP="00407874">
      <w:pPr>
        <w:ind w:firstLine="426"/>
        <w:jc w:val="both"/>
      </w:pPr>
      <w:r>
        <w:t xml:space="preserve">Федеральное государственное бюджетное учреждение науки «Институт радиотехники и электроники им. </w:t>
      </w:r>
      <w:proofErr w:type="spellStart"/>
      <w:r>
        <w:t>В.А.Котельникова</w:t>
      </w:r>
      <w:proofErr w:type="spellEnd"/>
      <w:r>
        <w:t xml:space="preserve"> РАН (ИРЭ </w:t>
      </w:r>
      <w:proofErr w:type="spellStart"/>
      <w:r>
        <w:t>им.В.А.Котельникова</w:t>
      </w:r>
      <w:proofErr w:type="spellEnd"/>
      <w:r>
        <w:t xml:space="preserve"> РАН), 125009, Россия, Москва, ул. Моховая 11, корп.7. e-</w:t>
      </w:r>
      <w:proofErr w:type="spellStart"/>
      <w:r>
        <w:t>mail</w:t>
      </w:r>
      <w:proofErr w:type="spellEnd"/>
      <w:r>
        <w:t xml:space="preserve">: olein@cplire.ru  </w:t>
      </w:r>
    </w:p>
    <w:p w:rsidR="00407874" w:rsidRDefault="00407874" w:rsidP="00407874">
      <w:pPr>
        <w:ind w:firstLine="426"/>
        <w:jc w:val="both"/>
      </w:pPr>
      <w:r>
        <w:t xml:space="preserve">Отмечено, что </w:t>
      </w:r>
      <w:proofErr w:type="spellStart"/>
      <w:r>
        <w:t>интероперабельность</w:t>
      </w:r>
      <w:proofErr w:type="spellEnd"/>
      <w:r>
        <w:t xml:space="preserve"> входит в число 6-и ключевых факторов платформы </w:t>
      </w:r>
      <w:proofErr w:type="spellStart"/>
      <w:r>
        <w:t>Industry</w:t>
      </w:r>
      <w:proofErr w:type="spellEnd"/>
      <w:r>
        <w:t xml:space="preserve"> 4.0 и в смежные области, составляющие цифровую экономику, цифровое общество и обороноспособность страны, во все области, где все шире применяются </w:t>
      </w:r>
      <w:proofErr w:type="spellStart"/>
      <w:r>
        <w:t>сетецентрические</w:t>
      </w:r>
      <w:proofErr w:type="spellEnd"/>
      <w:r>
        <w:t xml:space="preserve"> принципы. Отмечено, что важность обеспечения </w:t>
      </w:r>
      <w:proofErr w:type="spellStart"/>
      <w:r>
        <w:t>интероперабельности</w:t>
      </w:r>
      <w:proofErr w:type="spellEnd"/>
      <w:r>
        <w:t xml:space="preserve">, наконец, признана в РФ на государственном уровне, и отмечается необходимость решения проблемы </w:t>
      </w:r>
      <w:proofErr w:type="spellStart"/>
      <w:r>
        <w:t>интероперабельности</w:t>
      </w:r>
      <w:proofErr w:type="spellEnd"/>
      <w:r>
        <w:t xml:space="preserve"> совместно с проблемой информационной безопасности. Описаны работы по обеспечению </w:t>
      </w:r>
      <w:proofErr w:type="spellStart"/>
      <w:r>
        <w:t>интероперабельности</w:t>
      </w:r>
      <w:proofErr w:type="spellEnd"/>
      <w:r>
        <w:t xml:space="preserve">, выполненные в ИРЭ им. В.А Котельникова РАН, в том числе разработанные ГОСТ Р, деятельность созданного на базе в ИРЭ </w:t>
      </w:r>
      <w:proofErr w:type="spellStart"/>
      <w:r>
        <w:t>им.В.А</w:t>
      </w:r>
      <w:proofErr w:type="spellEnd"/>
      <w:r>
        <w:t xml:space="preserve"> Котельникова РАН подкомитета ПК206/ТК22 «</w:t>
      </w:r>
      <w:proofErr w:type="spellStart"/>
      <w:r>
        <w:t>Интероперабельность</w:t>
      </w:r>
      <w:proofErr w:type="spellEnd"/>
      <w:r>
        <w:t xml:space="preserve">». Отмечается отставание от мирового уровня работ по обеспечению </w:t>
      </w:r>
      <w:proofErr w:type="spellStart"/>
      <w:r>
        <w:t>интероперабельности</w:t>
      </w:r>
      <w:proofErr w:type="spellEnd"/>
      <w:r>
        <w:t xml:space="preserve"> в РФ, и высказывается надежда, что участие в </w:t>
      </w:r>
      <w:proofErr w:type="spellStart"/>
      <w:r>
        <w:t>Industry</w:t>
      </w:r>
      <w:proofErr w:type="spellEnd"/>
      <w:r>
        <w:t xml:space="preserve"> 4.0 переведет эти работы на качественно новый уровень.  </w:t>
      </w:r>
    </w:p>
    <w:p w:rsidR="00407874" w:rsidRDefault="00407874" w:rsidP="00407874">
      <w:pPr>
        <w:ind w:firstLine="426"/>
        <w:jc w:val="both"/>
      </w:pPr>
      <w:r>
        <w:t xml:space="preserve">Ключевые слова: Industry4.0, </w:t>
      </w:r>
      <w:proofErr w:type="spellStart"/>
      <w:r>
        <w:t>интероперабельность</w:t>
      </w:r>
      <w:proofErr w:type="spellEnd"/>
      <w:r>
        <w:t xml:space="preserve">, ИКТ-стандарты, профиль, информационная безопасность, </w:t>
      </w:r>
      <w:proofErr w:type="spellStart"/>
      <w:r>
        <w:t>cетецентрические</w:t>
      </w:r>
      <w:proofErr w:type="spellEnd"/>
      <w:r>
        <w:t xml:space="preserve"> принципы </w:t>
      </w:r>
    </w:p>
    <w:p w:rsidR="00407874" w:rsidRPr="00407874" w:rsidRDefault="00407874" w:rsidP="00407874">
      <w:pPr>
        <w:ind w:firstLine="426"/>
        <w:jc w:val="both"/>
        <w:rPr>
          <w:b/>
        </w:rPr>
      </w:pPr>
      <w:r w:rsidRPr="00407874">
        <w:rPr>
          <w:b/>
        </w:rPr>
        <w:t xml:space="preserve"> Введение. </w:t>
      </w:r>
    </w:p>
    <w:p w:rsidR="00407874" w:rsidRDefault="00407874" w:rsidP="00407874">
      <w:pPr>
        <w:ind w:firstLine="426"/>
        <w:jc w:val="both"/>
      </w:pPr>
      <w:r>
        <w:t xml:space="preserve"> </w:t>
      </w:r>
      <w:proofErr w:type="spellStart"/>
      <w:r>
        <w:t>Интероперабельность</w:t>
      </w:r>
      <w:proofErr w:type="spellEnd"/>
      <w:r>
        <w:t xml:space="preserve"> – ключевой фактор платформы </w:t>
      </w:r>
      <w:proofErr w:type="spellStart"/>
      <w:r>
        <w:t>Industry</w:t>
      </w:r>
      <w:proofErr w:type="spellEnd"/>
      <w:r>
        <w:t xml:space="preserve"> 4.0 Как известно [1], платформа </w:t>
      </w:r>
      <w:proofErr w:type="spellStart"/>
      <w:r>
        <w:t>Industry</w:t>
      </w:r>
      <w:proofErr w:type="spellEnd"/>
      <w:r>
        <w:t xml:space="preserve"> 4.0 включает 6 факторов, которые в разной степени используются в промышленности уже достаточно давно:  </w:t>
      </w:r>
    </w:p>
    <w:p w:rsidR="00407874" w:rsidRDefault="00407874" w:rsidP="00407874">
      <w:pPr>
        <w:ind w:firstLine="426"/>
        <w:jc w:val="both"/>
      </w:pPr>
      <w:r>
        <w:t>1. Управление жизненным циклом изделия (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- PLM); 2. Большие Данные (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); 3. «Умный» завод (SMART </w:t>
      </w:r>
      <w:proofErr w:type="spellStart"/>
      <w:r>
        <w:t>Factory</w:t>
      </w:r>
      <w:proofErr w:type="spellEnd"/>
      <w:r>
        <w:t xml:space="preserve">); 4. </w:t>
      </w:r>
      <w:proofErr w:type="spellStart"/>
      <w:r>
        <w:t>Киберфизические</w:t>
      </w:r>
      <w:proofErr w:type="spellEnd"/>
      <w:r>
        <w:t xml:space="preserve"> системы (</w:t>
      </w:r>
      <w:proofErr w:type="spellStart"/>
      <w:r>
        <w:t>Cyber-physical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); 5. Интернет вещей </w:t>
      </w:r>
      <w:proofErr w:type="gramStart"/>
      <w:r>
        <w:t xml:space="preserve">( </w:t>
      </w:r>
      <w:proofErr w:type="spellStart"/>
      <w:r>
        <w:t>Internet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– </w:t>
      </w:r>
      <w:proofErr w:type="spellStart"/>
      <w:r>
        <w:t>IoT</w:t>
      </w:r>
      <w:proofErr w:type="spellEnd"/>
      <w:r>
        <w:t xml:space="preserve">); 6. </w:t>
      </w:r>
      <w:proofErr w:type="spellStart"/>
      <w:r>
        <w:t>Интероперабельность</w:t>
      </w:r>
      <w:proofErr w:type="spellEnd"/>
      <w:r>
        <w:t xml:space="preserve"> (</w:t>
      </w:r>
      <w:proofErr w:type="spellStart"/>
      <w:r>
        <w:t>Interoperability</w:t>
      </w:r>
      <w:proofErr w:type="spellEnd"/>
      <w:r>
        <w:t xml:space="preserve">). Хотя </w:t>
      </w:r>
      <w:proofErr w:type="spellStart"/>
      <w:r>
        <w:t>интероперабельность</w:t>
      </w:r>
      <w:proofErr w:type="spellEnd"/>
      <w:r>
        <w:t xml:space="preserve"> вынесена отдельным и по счету последним пунктом, легко убедиться в том, что она входит и в другие факторы. Так, например, существует документ Национального Института Стандартизации и Технологий США «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Interoperability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». Или</w:t>
      </w:r>
      <w:r w:rsidRPr="00407874">
        <w:rPr>
          <w:lang w:val="en-US"/>
        </w:rPr>
        <w:t xml:space="preserve"> </w:t>
      </w:r>
      <w:r>
        <w:t>ещё</w:t>
      </w:r>
      <w:r w:rsidRPr="00407874">
        <w:rPr>
          <w:lang w:val="en-US"/>
        </w:rPr>
        <w:t xml:space="preserve"> </w:t>
      </w:r>
      <w:r>
        <w:t>пример</w:t>
      </w:r>
      <w:r w:rsidRPr="00407874">
        <w:rPr>
          <w:lang w:val="en-US"/>
        </w:rPr>
        <w:t xml:space="preserve">, </w:t>
      </w:r>
      <w:r>
        <w:t>касающийся</w:t>
      </w:r>
      <w:r w:rsidRPr="00407874">
        <w:rPr>
          <w:lang w:val="en-US"/>
        </w:rPr>
        <w:t xml:space="preserve"> </w:t>
      </w:r>
      <w:r>
        <w:t>Интернета</w:t>
      </w:r>
      <w:r w:rsidRPr="00407874">
        <w:rPr>
          <w:lang w:val="en-US"/>
        </w:rPr>
        <w:t xml:space="preserve"> </w:t>
      </w:r>
      <w:r>
        <w:t>вещей</w:t>
      </w:r>
      <w:r w:rsidRPr="00407874">
        <w:rPr>
          <w:lang w:val="en-US"/>
        </w:rPr>
        <w:t xml:space="preserve">: «Internet of Things </w:t>
      </w:r>
      <w:proofErr w:type="spellStart"/>
      <w:r w:rsidRPr="00407874">
        <w:rPr>
          <w:lang w:val="en-US"/>
        </w:rPr>
        <w:t>IoT</w:t>
      </w:r>
      <w:proofErr w:type="spellEnd"/>
      <w:r w:rsidRPr="00407874">
        <w:rPr>
          <w:lang w:val="en-US"/>
        </w:rPr>
        <w:t xml:space="preserve"> Semantic Interoperability». </w:t>
      </w:r>
      <w:r>
        <w:t xml:space="preserve">Наконец, в очень обстоятельном обзоре [2] всех технологий и приложений в </w:t>
      </w:r>
      <w:proofErr w:type="spellStart"/>
      <w:r>
        <w:t>Industry</w:t>
      </w:r>
      <w:proofErr w:type="spellEnd"/>
      <w:r>
        <w:t xml:space="preserve"> 4.0 и содержащем 88 ссылок, проблеме </w:t>
      </w:r>
      <w:proofErr w:type="spellStart"/>
      <w:r>
        <w:t>интероперабельности</w:t>
      </w:r>
      <w:proofErr w:type="spellEnd"/>
      <w:r>
        <w:t xml:space="preserve"> посвящен специальный раздел 3, в котором утверждается, что </w:t>
      </w:r>
      <w:proofErr w:type="spellStart"/>
      <w:r>
        <w:t>интеропеабельность</w:t>
      </w:r>
      <w:proofErr w:type="spellEnd"/>
      <w:r>
        <w:t xml:space="preserve"> выступает ключевым фактором </w:t>
      </w:r>
      <w:proofErr w:type="spellStart"/>
      <w:r>
        <w:t>Industry</w:t>
      </w:r>
      <w:proofErr w:type="spellEnd"/>
      <w:r>
        <w:t xml:space="preserve"> 4.0. </w:t>
      </w:r>
    </w:p>
    <w:p w:rsidR="00407874" w:rsidRDefault="00407874" w:rsidP="00407874">
      <w:pPr>
        <w:ind w:firstLine="426"/>
        <w:jc w:val="both"/>
      </w:pPr>
      <w:proofErr w:type="spellStart"/>
      <w:r>
        <w:t>Интероперабельность</w:t>
      </w:r>
      <w:proofErr w:type="spellEnd"/>
      <w:r>
        <w:t xml:space="preserve">. Основные положения </w:t>
      </w:r>
      <w:proofErr w:type="gramStart"/>
      <w:r>
        <w:t>Напомним</w:t>
      </w:r>
      <w:proofErr w:type="gramEnd"/>
      <w:r>
        <w:t>, что согласно общепринятому определению «</w:t>
      </w:r>
      <w:proofErr w:type="spellStart"/>
      <w:r>
        <w:t>Интероперабельность</w:t>
      </w:r>
      <w:proofErr w:type="spellEnd"/>
      <w:r>
        <w:t xml:space="preserve"> - способность двух или более информационных систем или компонентов к обмену информацией и к использованию информации, полученной в результате обмена» (ГОСТ Р 55062-2012, Информационные технологии. </w:t>
      </w:r>
      <w:proofErr w:type="spellStart"/>
      <w:r>
        <w:t>Cистемы</w:t>
      </w:r>
      <w:proofErr w:type="spellEnd"/>
      <w:r>
        <w:t xml:space="preserve"> промышленной автоматизации и их интеграция. </w:t>
      </w:r>
      <w:proofErr w:type="spellStart"/>
      <w:r>
        <w:t>Интероперабельность</w:t>
      </w:r>
      <w:proofErr w:type="spellEnd"/>
      <w:r>
        <w:t xml:space="preserve">. Основные положения). В основе достижения </w:t>
      </w:r>
      <w:proofErr w:type="spellStart"/>
      <w:r>
        <w:t>интероперабельности</w:t>
      </w:r>
      <w:proofErr w:type="spellEnd"/>
      <w:r>
        <w:t xml:space="preserve"> лежит использование профилей – наборов ИКТ-стандартов. Следует отметить, что обеспечение </w:t>
      </w:r>
      <w:proofErr w:type="spellStart"/>
      <w:r>
        <w:t>интероперабельности</w:t>
      </w:r>
      <w:proofErr w:type="spellEnd"/>
      <w:r>
        <w:t xml:space="preserve"> - сложная комплексная научно-техническая и организационно-методическая проблема, не решенная до конца во всем мире. Причина этого состоит в том, что использование ИКТ-стандартов - необходимое, но недостаточное условие обеспечения </w:t>
      </w:r>
      <w:proofErr w:type="spellStart"/>
      <w:r>
        <w:t>интероперабельности</w:t>
      </w:r>
      <w:proofErr w:type="spellEnd"/>
      <w:r>
        <w:t xml:space="preserve">, их использование обеспечивает только нижний т.н. «технический» уровень. Полная </w:t>
      </w:r>
      <w:proofErr w:type="spellStart"/>
      <w:r>
        <w:t>интероперабельность</w:t>
      </w:r>
      <w:proofErr w:type="spellEnd"/>
      <w:r>
        <w:t xml:space="preserve"> должна достигаться на более высоких уровнях: семантическом и организационном.  Следует отметить также, что проблема </w:t>
      </w:r>
      <w:proofErr w:type="spellStart"/>
      <w:r>
        <w:lastRenderedPageBreak/>
        <w:t>интероперабельности</w:t>
      </w:r>
      <w:proofErr w:type="spellEnd"/>
      <w:r>
        <w:t xml:space="preserve"> имеет фундаментальные и прикладные аспекты. В РФ фундаментальные аспекты отражены в Программе фундаментальных исследований государственных академий наук на 2013-2020 </w:t>
      </w:r>
      <w:proofErr w:type="spellStart"/>
      <w:r>
        <w:t>гг</w:t>
      </w:r>
      <w:proofErr w:type="spellEnd"/>
      <w:r>
        <w:t xml:space="preserve"> (п.34). Прикладные аспекты впервые на государственном уровне обозначены в программе «Цифровая экономика» [3]. Наконец, следует отметить, что обеспечение </w:t>
      </w:r>
      <w:proofErr w:type="spellStart"/>
      <w:r>
        <w:t>интероперабельности</w:t>
      </w:r>
      <w:proofErr w:type="spellEnd"/>
      <w:r>
        <w:t xml:space="preserve"> – технология двойного назначения, о чем говорилось на прошлой конференции [4]. </w:t>
      </w:r>
    </w:p>
    <w:p w:rsidR="00407874" w:rsidRDefault="00407874" w:rsidP="00407874">
      <w:pPr>
        <w:ind w:firstLine="426"/>
        <w:jc w:val="both"/>
      </w:pPr>
      <w:r>
        <w:t xml:space="preserve">Смежные </w:t>
      </w:r>
      <w:proofErr w:type="gramStart"/>
      <w:r>
        <w:t>области  Платформу</w:t>
      </w:r>
      <w:proofErr w:type="gramEnd"/>
      <w:r>
        <w:t xml:space="preserve"> </w:t>
      </w:r>
      <w:proofErr w:type="spellStart"/>
      <w:r>
        <w:t>Industry</w:t>
      </w:r>
      <w:proofErr w:type="spellEnd"/>
      <w:r>
        <w:t xml:space="preserve"> 4.0 можно рассматривать как этап или часть более широкого понятия «Цифровая экономика», интенсивно развивающегося во всем мире. В РФ в 2017 г. принята Программа «Цифровая экономика» [3], в которой впервые в РФ на государственном уровне упоминается проблема </w:t>
      </w:r>
      <w:proofErr w:type="spellStart"/>
      <w:r>
        <w:t>интероперабельности</w:t>
      </w:r>
      <w:proofErr w:type="spellEnd"/>
      <w:r>
        <w:t xml:space="preserve">. Более того, в выступлении вице-премьера </w:t>
      </w:r>
      <w:proofErr w:type="spellStart"/>
      <w:r>
        <w:t>М.Акимова</w:t>
      </w:r>
      <w:proofErr w:type="spellEnd"/>
      <w:r>
        <w:t xml:space="preserve">, курирующего национальную программу «Цифровая экономика», на Гайдаровском форуме проблема </w:t>
      </w:r>
      <w:proofErr w:type="spellStart"/>
      <w:r>
        <w:t>нтероперабельности</w:t>
      </w:r>
      <w:proofErr w:type="spellEnd"/>
      <w:r>
        <w:t xml:space="preserve"> была выделена как первоочередная на 2019 г. [5]. </w:t>
      </w:r>
    </w:p>
    <w:p w:rsidR="00407874" w:rsidRDefault="00407874" w:rsidP="00407874">
      <w:pPr>
        <w:ind w:firstLine="426"/>
        <w:jc w:val="both"/>
      </w:pPr>
      <w:r>
        <w:t xml:space="preserve">Работы ИРЭ </w:t>
      </w:r>
      <w:proofErr w:type="spellStart"/>
      <w:r>
        <w:t>им.В.А.Котельникова</w:t>
      </w:r>
      <w:proofErr w:type="spellEnd"/>
      <w:r>
        <w:t xml:space="preserve"> РАН по проблеме </w:t>
      </w:r>
      <w:proofErr w:type="spellStart"/>
      <w:r>
        <w:t>интероперабельности</w:t>
      </w:r>
      <w:proofErr w:type="spellEnd"/>
      <w:r>
        <w:t xml:space="preserve"> ИРЭ им. </w:t>
      </w:r>
      <w:proofErr w:type="spellStart"/>
      <w:r>
        <w:t>В.А.Котельникова</w:t>
      </w:r>
      <w:proofErr w:type="spellEnd"/>
      <w:r>
        <w:t xml:space="preserve"> РАН ведёт систематизированные работы по проблеме </w:t>
      </w:r>
      <w:proofErr w:type="spellStart"/>
      <w:r>
        <w:t>интеропрабельности</w:t>
      </w:r>
      <w:proofErr w:type="spellEnd"/>
      <w:r>
        <w:t xml:space="preserve"> с 2007 г., когда по нашей инициативе была впервые проведена конференция с иностранным участием «</w:t>
      </w:r>
      <w:proofErr w:type="spellStart"/>
      <w:r>
        <w:t>Интероперабельность</w:t>
      </w:r>
      <w:proofErr w:type="spellEnd"/>
      <w:r>
        <w:t xml:space="preserve"> и ИКТ-стандартизация». С тех пор было сделано более 50 публикаций по разным областям применения (наука, образование, здравоохранение) и разработаны 4 национальных стандарта: </w:t>
      </w:r>
      <w:r>
        <w:rPr>
          <w:rFonts w:ascii="Cambria Math" w:hAnsi="Cambria Math" w:cs="Cambria Math"/>
        </w:rPr>
        <w:t>⎯</w:t>
      </w:r>
      <w:r>
        <w:t xml:space="preserve"> </w:t>
      </w:r>
      <w:r>
        <w:rPr>
          <w:rFonts w:ascii="Calibri" w:hAnsi="Calibri" w:cs="Calibri"/>
        </w:rPr>
        <w:t>ГОСТ</w:t>
      </w:r>
      <w:r>
        <w:t xml:space="preserve"> </w:t>
      </w:r>
      <w:r>
        <w:rPr>
          <w:rFonts w:ascii="Calibri" w:hAnsi="Calibri" w:cs="Calibri"/>
        </w:rPr>
        <w:t>Р</w:t>
      </w:r>
      <w:r>
        <w:t xml:space="preserve"> 55022-2012 </w:t>
      </w:r>
      <w:r>
        <w:rPr>
          <w:rFonts w:ascii="Calibri" w:hAnsi="Calibri" w:cs="Calibri"/>
        </w:rPr>
        <w:t>Информационная</w:t>
      </w:r>
      <w:r>
        <w:t xml:space="preserve"> </w:t>
      </w:r>
      <w:r>
        <w:rPr>
          <w:rFonts w:ascii="Calibri" w:hAnsi="Calibri" w:cs="Calibri"/>
        </w:rPr>
        <w:t>технология</w:t>
      </w:r>
      <w:r>
        <w:t xml:space="preserve">. </w:t>
      </w:r>
      <w:r>
        <w:rPr>
          <w:rFonts w:ascii="Calibri" w:hAnsi="Calibri" w:cs="Calibri"/>
        </w:rPr>
        <w:t>Спецификация</w:t>
      </w:r>
      <w:r>
        <w:t xml:space="preserve"> </w:t>
      </w:r>
      <w:r>
        <w:rPr>
          <w:rFonts w:ascii="Calibri" w:hAnsi="Calibri" w:cs="Calibri"/>
        </w:rPr>
        <w:t>языка</w:t>
      </w:r>
      <w:r>
        <w:t xml:space="preserve"> </w:t>
      </w:r>
      <w:r>
        <w:rPr>
          <w:rFonts w:ascii="Calibri" w:hAnsi="Calibri" w:cs="Calibri"/>
        </w:rPr>
        <w:t>описания</w:t>
      </w:r>
      <w:r>
        <w:t xml:space="preserve"> </w:t>
      </w:r>
      <w:r>
        <w:rPr>
          <w:rFonts w:ascii="Calibri" w:hAnsi="Calibri" w:cs="Calibri"/>
        </w:rPr>
        <w:t>представления</w:t>
      </w:r>
      <w:r>
        <w:t xml:space="preserve"> </w:t>
      </w:r>
      <w:r>
        <w:rPr>
          <w:rFonts w:ascii="Calibri" w:hAnsi="Calibri" w:cs="Calibri"/>
        </w:rPr>
        <w:t>задач</w:t>
      </w:r>
      <w:r>
        <w:t xml:space="preserve"> (JSDL). </w:t>
      </w:r>
      <w:r>
        <w:rPr>
          <w:rFonts w:ascii="Cambria Math" w:hAnsi="Cambria Math" w:cs="Cambria Math"/>
        </w:rPr>
        <w:t>⎯</w:t>
      </w:r>
      <w:r>
        <w:t xml:space="preserve"> </w:t>
      </w:r>
      <w:r>
        <w:rPr>
          <w:rFonts w:ascii="Calibri" w:hAnsi="Calibri" w:cs="Calibri"/>
        </w:rPr>
        <w:t>ГОСТ</w:t>
      </w:r>
      <w:r>
        <w:t xml:space="preserve"> </w:t>
      </w:r>
      <w:r>
        <w:rPr>
          <w:rFonts w:ascii="Calibri" w:hAnsi="Calibri" w:cs="Calibri"/>
        </w:rPr>
        <w:t>Р</w:t>
      </w:r>
      <w:r>
        <w:t xml:space="preserve"> 55062-2012 </w:t>
      </w:r>
      <w:r>
        <w:rPr>
          <w:rFonts w:ascii="Calibri" w:hAnsi="Calibri" w:cs="Calibri"/>
        </w:rPr>
        <w:t>Информационные</w:t>
      </w:r>
      <w:r>
        <w:t xml:space="preserve"> </w:t>
      </w:r>
      <w:r>
        <w:rPr>
          <w:rFonts w:ascii="Calibri" w:hAnsi="Calibri" w:cs="Calibri"/>
        </w:rPr>
        <w:t>технологии</w:t>
      </w:r>
      <w:r>
        <w:t xml:space="preserve">. </w:t>
      </w:r>
      <w:r>
        <w:rPr>
          <w:rFonts w:ascii="Calibri" w:hAnsi="Calibri" w:cs="Calibri"/>
        </w:rPr>
        <w:t>Системы</w:t>
      </w:r>
      <w:r>
        <w:t xml:space="preserve"> </w:t>
      </w:r>
      <w:r>
        <w:rPr>
          <w:rFonts w:ascii="Calibri" w:hAnsi="Calibri" w:cs="Calibri"/>
        </w:rPr>
        <w:t>промышленной</w:t>
      </w:r>
      <w:r>
        <w:t xml:space="preserve"> </w:t>
      </w:r>
      <w:r>
        <w:rPr>
          <w:rFonts w:ascii="Calibri" w:hAnsi="Calibri" w:cs="Calibri"/>
        </w:rPr>
        <w:t>автоматизации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их</w:t>
      </w:r>
      <w:r>
        <w:t xml:space="preserve"> </w:t>
      </w:r>
      <w:r>
        <w:rPr>
          <w:rFonts w:ascii="Calibri" w:hAnsi="Calibri" w:cs="Calibri"/>
        </w:rPr>
        <w:t>интеграци</w:t>
      </w:r>
      <w:r>
        <w:t xml:space="preserve">я. </w:t>
      </w:r>
      <w:proofErr w:type="spellStart"/>
      <w:r>
        <w:t>Интероперабельность</w:t>
      </w:r>
      <w:proofErr w:type="spellEnd"/>
      <w:r>
        <w:t>. Основные положения.</w:t>
      </w:r>
    </w:p>
    <w:p w:rsidR="00407874" w:rsidRDefault="00407874" w:rsidP="00407874">
      <w:pPr>
        <w:ind w:firstLine="426"/>
        <w:jc w:val="both"/>
      </w:pPr>
      <w:r>
        <w:t xml:space="preserve"> </w:t>
      </w:r>
      <w:r>
        <w:rPr>
          <w:rFonts w:ascii="Cambria Math" w:hAnsi="Cambria Math" w:cs="Cambria Math"/>
        </w:rPr>
        <w:t>⎯</w:t>
      </w:r>
      <w:r>
        <w:t xml:space="preserve"> </w:t>
      </w:r>
      <w:r>
        <w:rPr>
          <w:rFonts w:ascii="Calibri" w:hAnsi="Calibri" w:cs="Calibri"/>
        </w:rPr>
        <w:t>ГОСТ</w:t>
      </w:r>
      <w:r>
        <w:t xml:space="preserve"> </w:t>
      </w:r>
      <w:r>
        <w:rPr>
          <w:rFonts w:ascii="Calibri" w:hAnsi="Calibri" w:cs="Calibri"/>
        </w:rPr>
        <w:t>Р</w:t>
      </w:r>
      <w:r>
        <w:t xml:space="preserve"> 55768 </w:t>
      </w:r>
      <w:r>
        <w:rPr>
          <w:rFonts w:ascii="Calibri" w:hAnsi="Calibri" w:cs="Calibri"/>
        </w:rPr>
        <w:t>–</w:t>
      </w:r>
      <w:r>
        <w:t xml:space="preserve"> 2013 </w:t>
      </w:r>
      <w:r>
        <w:rPr>
          <w:rFonts w:ascii="Calibri" w:hAnsi="Calibri" w:cs="Calibri"/>
        </w:rPr>
        <w:t>Модель</w:t>
      </w:r>
      <w:r>
        <w:t xml:space="preserve"> </w:t>
      </w:r>
      <w:r>
        <w:rPr>
          <w:rFonts w:ascii="Calibri" w:hAnsi="Calibri" w:cs="Calibri"/>
        </w:rPr>
        <w:t>открытой</w:t>
      </w:r>
      <w:r>
        <w:t xml:space="preserve"> </w:t>
      </w:r>
      <w:proofErr w:type="spellStart"/>
      <w:r>
        <w:rPr>
          <w:rFonts w:ascii="Calibri" w:hAnsi="Calibri" w:cs="Calibri"/>
        </w:rPr>
        <w:t>Грид</w:t>
      </w:r>
      <w:proofErr w:type="spellEnd"/>
      <w:r>
        <w:t>-</w:t>
      </w:r>
      <w:r>
        <w:rPr>
          <w:rFonts w:ascii="Calibri" w:hAnsi="Calibri" w:cs="Calibri"/>
        </w:rPr>
        <w:t>системы</w:t>
      </w:r>
      <w:r>
        <w:t xml:space="preserve">. </w:t>
      </w:r>
      <w:r>
        <w:rPr>
          <w:rFonts w:ascii="Calibri" w:hAnsi="Calibri" w:cs="Calibri"/>
        </w:rPr>
        <w:t>Основные</w:t>
      </w:r>
      <w:r>
        <w:t xml:space="preserve"> </w:t>
      </w:r>
      <w:r>
        <w:rPr>
          <w:rFonts w:ascii="Calibri" w:hAnsi="Calibri" w:cs="Calibri"/>
        </w:rPr>
        <w:t>положения</w:t>
      </w:r>
      <w:r>
        <w:t xml:space="preserve">. </w:t>
      </w:r>
    </w:p>
    <w:p w:rsidR="00407874" w:rsidRDefault="00407874" w:rsidP="00407874">
      <w:pPr>
        <w:ind w:firstLine="426"/>
        <w:jc w:val="both"/>
      </w:pPr>
      <w:r>
        <w:rPr>
          <w:rFonts w:ascii="Cambria Math" w:hAnsi="Cambria Math" w:cs="Cambria Math"/>
        </w:rPr>
        <w:t>⎯</w:t>
      </w:r>
      <w:r>
        <w:t xml:space="preserve"> ГОСТ Р 56174-2014 Информационные технологии. Архитектура служб открытой </w:t>
      </w:r>
      <w:proofErr w:type="spellStart"/>
      <w:r>
        <w:t>Грид</w:t>
      </w:r>
      <w:proofErr w:type="spellEnd"/>
      <w:r>
        <w:t xml:space="preserve">-среды. Термины и определения. Основным достижением можно считать предложенный единый подход к обеспечению </w:t>
      </w:r>
      <w:proofErr w:type="spellStart"/>
      <w:r>
        <w:t>интероперабельности</w:t>
      </w:r>
      <w:proofErr w:type="spellEnd"/>
      <w:r>
        <w:t xml:space="preserve"> для информационных систем самого широкого класса [6], зафиксированный нами в указанном выше ГОСТ Р 55062-2012, который, заметим, не имеет прямых зарубежных аналогов. Как видим из названия, можно надеяться, что данный ГОСТ Р найдёт применение и при реализации в РФ положений </w:t>
      </w:r>
      <w:proofErr w:type="spellStart"/>
      <w:r>
        <w:t>Industry</w:t>
      </w:r>
      <w:proofErr w:type="spellEnd"/>
      <w:r>
        <w:t xml:space="preserve"> 4.0. </w:t>
      </w:r>
    </w:p>
    <w:p w:rsidR="00407874" w:rsidRDefault="00407874" w:rsidP="00407874">
      <w:pPr>
        <w:ind w:firstLine="426"/>
        <w:jc w:val="both"/>
      </w:pPr>
      <w:r>
        <w:t xml:space="preserve">Создание на базе ИРЭ </w:t>
      </w:r>
      <w:proofErr w:type="spellStart"/>
      <w:r>
        <w:t>им.В.А.Котельникова</w:t>
      </w:r>
      <w:proofErr w:type="spellEnd"/>
      <w:r>
        <w:t xml:space="preserve"> РАН в рамках технического комитета ТК22 подкомитета ПК206 «</w:t>
      </w:r>
      <w:proofErr w:type="spellStart"/>
      <w:r>
        <w:t>Интероперабельность</w:t>
      </w:r>
      <w:proofErr w:type="spellEnd"/>
      <w:r>
        <w:t xml:space="preserve">» </w:t>
      </w:r>
      <w:proofErr w:type="gramStart"/>
      <w:r>
        <w:t>С</w:t>
      </w:r>
      <w:proofErr w:type="gramEnd"/>
      <w:r>
        <w:t xml:space="preserve"> учетом наработок Институт он был включен в состав Технического комитета ТК22 «Информационные технологии», а для решения проблемы </w:t>
      </w:r>
      <w:proofErr w:type="spellStart"/>
      <w:r>
        <w:t>интеропрабельности</w:t>
      </w:r>
      <w:proofErr w:type="spellEnd"/>
      <w:r>
        <w:t xml:space="preserve"> приказом </w:t>
      </w:r>
      <w:proofErr w:type="spellStart"/>
      <w:r>
        <w:t>Росстандарта</w:t>
      </w:r>
      <w:proofErr w:type="spellEnd"/>
      <w:r>
        <w:t xml:space="preserve"> позже на Институт было возложено ведение подкомитета «</w:t>
      </w:r>
      <w:proofErr w:type="spellStart"/>
      <w:r>
        <w:t>Интероперабельность</w:t>
      </w:r>
      <w:proofErr w:type="spellEnd"/>
      <w:r>
        <w:t>» ПК206/ТК22. В течение последних трёх лет Институт осуществлял применение разработанного единого подхода к информационным системам различных классов: системам военного назначения, электронным библиотекам, т.н. системам систем (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), высокопроизводительным системам, в рамках </w:t>
      </w:r>
      <w:proofErr w:type="spellStart"/>
      <w:r>
        <w:t>госзадания</w:t>
      </w:r>
      <w:proofErr w:type="spellEnd"/>
      <w:r>
        <w:t xml:space="preserve">, программ Президиума РАН. Одновременно Институтом и ПК206 предпринимались усилия по внедрению результатов в реальный сектор экономики, в том числе на предприятия </w:t>
      </w:r>
      <w:proofErr w:type="spellStart"/>
      <w:r>
        <w:t>Минпромторга</w:t>
      </w:r>
      <w:proofErr w:type="spellEnd"/>
      <w:r>
        <w:t xml:space="preserve"> и в Минобороны. Мы исходили из положения Военной доктрины РФ, где сказано: «качественное совершенствование средств информационного обмена на основе использования современных технологий и международных стандартов, а также единого информационного пространства Вооруженных Сил, других войск и органов как части информационного пространства Российской Федерации (п. 46 г). По существу, речь идет о достижении </w:t>
      </w:r>
      <w:proofErr w:type="spellStart"/>
      <w:r>
        <w:t>интероперабельности</w:t>
      </w:r>
      <w:proofErr w:type="spellEnd"/>
      <w:r>
        <w:t xml:space="preserve">. К сожалению, несмотря на признание важности проблемы для обороноспособности страны конструктивных мер по внедрению наших предложений принято не было. </w:t>
      </w:r>
    </w:p>
    <w:p w:rsidR="00407874" w:rsidRDefault="00407874" w:rsidP="00407874">
      <w:pPr>
        <w:ind w:firstLine="426"/>
        <w:jc w:val="both"/>
      </w:pPr>
      <w:proofErr w:type="spellStart"/>
      <w:r>
        <w:t>Интероперабельность</w:t>
      </w:r>
      <w:proofErr w:type="spellEnd"/>
      <w:r>
        <w:t xml:space="preserve"> – основной принцип </w:t>
      </w:r>
      <w:proofErr w:type="spellStart"/>
      <w:r>
        <w:t>сетецентрических</w:t>
      </w:r>
      <w:proofErr w:type="spellEnd"/>
      <w:r>
        <w:t xml:space="preserve"> систем управления В последние годы всё шире используется во всех областях, как в военной, так и в гражданской областях, в том </w:t>
      </w:r>
      <w:r>
        <w:lastRenderedPageBreak/>
        <w:t xml:space="preserve">числе и в Industry4. </w:t>
      </w:r>
      <w:proofErr w:type="spellStart"/>
      <w:r>
        <w:t>сетецентические</w:t>
      </w:r>
      <w:proofErr w:type="spellEnd"/>
      <w:r>
        <w:t xml:space="preserve"> принципы управления. При этом </w:t>
      </w:r>
      <w:proofErr w:type="spellStart"/>
      <w:r>
        <w:t>интероперабельность</w:t>
      </w:r>
      <w:proofErr w:type="spellEnd"/>
      <w:r>
        <w:t xml:space="preserve"> выступает основным </w:t>
      </w:r>
      <w:proofErr w:type="spellStart"/>
      <w:r>
        <w:t>сетецентрическим</w:t>
      </w:r>
      <w:proofErr w:type="spellEnd"/>
      <w:r>
        <w:t xml:space="preserve"> принципом [7]. На этом основании под руководством автора с участием представителей ряда организаций, начиная с 2019 г. выполняется грант РФФИ «Исследование проблемы </w:t>
      </w:r>
      <w:proofErr w:type="spellStart"/>
      <w:r>
        <w:t>интероперабельности</w:t>
      </w:r>
      <w:proofErr w:type="spellEnd"/>
      <w:r>
        <w:t xml:space="preserve"> при реализации принципов </w:t>
      </w:r>
      <w:proofErr w:type="spellStart"/>
      <w:r>
        <w:t>сетецентрических</w:t>
      </w:r>
      <w:proofErr w:type="spellEnd"/>
      <w:r>
        <w:t xml:space="preserve"> информационно-управляющих систем». Согласно плану, результатом гранта должен стать проект национального стандарта по обеспечению </w:t>
      </w:r>
      <w:proofErr w:type="spellStart"/>
      <w:r>
        <w:t>интероперабельности</w:t>
      </w:r>
      <w:proofErr w:type="spellEnd"/>
      <w:r>
        <w:t xml:space="preserve"> в </w:t>
      </w:r>
      <w:proofErr w:type="spellStart"/>
      <w:r>
        <w:t>сетецентрических</w:t>
      </w:r>
      <w:proofErr w:type="spellEnd"/>
      <w:r>
        <w:t xml:space="preserve"> системах управления. Ещё один проект, находящийся в начальной стадии, связан с сельским хозяйством. Как известно, сельское хозяйство выступает одним из объектов </w:t>
      </w:r>
      <w:proofErr w:type="spellStart"/>
      <w:r>
        <w:t>Industry</w:t>
      </w:r>
      <w:proofErr w:type="spellEnd"/>
      <w:r>
        <w:t xml:space="preserve"> 4.0 и Цифровой экономики. В пояснительной записке к предложению о реализации нового направления программы «Цифровая экономика Российской Федерации» к ключевым задачам отнесено: «Повышение эффективности взаимодействия участников между собой и с государством с переходом в цифровой формат, интеграция информационных ресурсов и удобный быстрый доступ к ним неограниченного авторизированного количества пользователей». И ещё «Обеспечение совместимости процессов и стандартов производства продукции с общемировыми для выхода России на лидирующее позиции как экспортера сельхозпродукции». О чём, если не об обеспечении </w:t>
      </w:r>
      <w:proofErr w:type="spellStart"/>
      <w:r>
        <w:t>интероперабельности</w:t>
      </w:r>
      <w:proofErr w:type="spellEnd"/>
      <w:r>
        <w:t xml:space="preserve"> идёт речь? </w:t>
      </w:r>
    </w:p>
    <w:p w:rsidR="00407874" w:rsidRDefault="00407874" w:rsidP="00407874">
      <w:pPr>
        <w:ind w:firstLine="426"/>
        <w:jc w:val="both"/>
      </w:pPr>
      <w:r>
        <w:t xml:space="preserve">Необходимость совместного рассмотрения проблемы </w:t>
      </w:r>
      <w:proofErr w:type="spellStart"/>
      <w:r>
        <w:t>интероперабельности</w:t>
      </w:r>
      <w:proofErr w:type="spellEnd"/>
      <w:r>
        <w:t xml:space="preserve"> и проблемы информационной безопасности </w:t>
      </w:r>
      <w:proofErr w:type="gramStart"/>
      <w:r>
        <w:t>Еще</w:t>
      </w:r>
      <w:proofErr w:type="gramEnd"/>
      <w:r>
        <w:t xml:space="preserve"> в 2016 г. мы обратили внимание на то, что крайне важным представляется совместное рассмотрение проблемы </w:t>
      </w:r>
      <w:proofErr w:type="spellStart"/>
      <w:r>
        <w:t>интероперабельности</w:t>
      </w:r>
      <w:proofErr w:type="spellEnd"/>
      <w:r>
        <w:t xml:space="preserve"> и проблемы информационной безопасности, что должно проявиться в составе стандартов, входящих в профиль, а именно включением стандартов информационной безопасности [8]. Стандарты информационной безопасности можно разделить на две категории, на ГОСТ Р, которые в основном создаются на основе международных стандартов, и национальные стандарты, разрабатываемые Федеральной службой по техническому и экспортному контролю (ФСТЭК)  </w:t>
      </w:r>
    </w:p>
    <w:p w:rsidR="00407874" w:rsidRDefault="00407874" w:rsidP="00407874">
      <w:pPr>
        <w:ind w:firstLine="426"/>
        <w:jc w:val="both"/>
      </w:pPr>
      <w:r>
        <w:t xml:space="preserve">Сравнение с мировым уровнем К сожалению, пока работы по проблеме </w:t>
      </w:r>
      <w:proofErr w:type="spellStart"/>
      <w:r>
        <w:t>интероперабельности</w:t>
      </w:r>
      <w:proofErr w:type="spellEnd"/>
      <w:r>
        <w:t xml:space="preserve"> в РФ, как и по стандартизации ИКТ в целом, значительно отстают от международного уровня. В развитых странах, как в гражданской, так и военной областях обеспечение </w:t>
      </w:r>
      <w:proofErr w:type="spellStart"/>
      <w:r>
        <w:t>интероперабельности</w:t>
      </w:r>
      <w:proofErr w:type="spellEnd"/>
      <w:r>
        <w:t xml:space="preserve"> обязательно входит в основополагающие документы по информатизации. Классическим примером служит документ «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Interoperability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». Есть такие документы и на национальном уровне, даже в Эфиопии, есть по областям применения, например, в здравоохранении. Что касается </w:t>
      </w:r>
      <w:proofErr w:type="spellStart"/>
      <w:r>
        <w:t>Industry</w:t>
      </w:r>
      <w:proofErr w:type="spellEnd"/>
      <w:r>
        <w:t xml:space="preserve"> 4.0, то пока нормативного документа мы не нашли, а нашли упомянутый выше обзор [2], в котором отмечается критическая роль </w:t>
      </w:r>
      <w:proofErr w:type="spellStart"/>
      <w:r>
        <w:t>интероперабельности</w:t>
      </w:r>
      <w:proofErr w:type="spellEnd"/>
      <w:r>
        <w:t xml:space="preserve"> для </w:t>
      </w:r>
      <w:proofErr w:type="spellStart"/>
      <w:r>
        <w:t>Industry</w:t>
      </w:r>
      <w:proofErr w:type="spellEnd"/>
      <w:r>
        <w:t xml:space="preserve"> 4.0, и предложена соответствующая концепция, впитавшая известные положения из других концепций, таких как C4ISR – концепции, принятой в ВС США. Кроме концептуальных документов, в передовых странах существует и большое количество документов реализационного уровня. Примером для гражданской области может служить уже упомянутый документ «</w:t>
      </w:r>
      <w:proofErr w:type="spellStart"/>
      <w:r>
        <w:t>Dig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interoperability</w:t>
      </w:r>
      <w:proofErr w:type="spellEnd"/>
      <w:r>
        <w:t xml:space="preserve">» в трех томах с общим числом 900 стр. В военной области примером может служить документ «NATO </w:t>
      </w:r>
      <w:proofErr w:type="spellStart"/>
      <w:r>
        <w:t>interoperability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» в 3 томах общим числом 300 стр. Хотелось бы надеяться, что включение РСПП в работы по </w:t>
      </w:r>
      <w:proofErr w:type="spellStart"/>
      <w:r>
        <w:t>Industry</w:t>
      </w:r>
      <w:proofErr w:type="spellEnd"/>
      <w:r>
        <w:t xml:space="preserve"> 4.0 привлечение финансирования со стороны бизнеса позволят перевести работы по ИКТ-стандартизации в РФ на качественно новый уровень в том числе в области </w:t>
      </w:r>
      <w:proofErr w:type="spellStart"/>
      <w:r>
        <w:t>интероперабельности</w:t>
      </w:r>
      <w:proofErr w:type="spellEnd"/>
      <w:r>
        <w:t xml:space="preserve">. Первоочередным шагом нам представляется разработка документа «Рекомендации по обеспечению </w:t>
      </w:r>
      <w:proofErr w:type="spellStart"/>
      <w:r>
        <w:t>интероперабельности</w:t>
      </w:r>
      <w:proofErr w:type="spellEnd"/>
      <w:r>
        <w:t xml:space="preserve"> в платформе </w:t>
      </w:r>
      <w:proofErr w:type="spellStart"/>
      <w:r>
        <w:t>Industry</w:t>
      </w:r>
      <w:proofErr w:type="spellEnd"/>
      <w:r>
        <w:t xml:space="preserve"> 4.0» (рабочее название). </w:t>
      </w:r>
    </w:p>
    <w:p w:rsidR="00407874" w:rsidRDefault="00407874" w:rsidP="00407874">
      <w:pPr>
        <w:ind w:firstLine="426"/>
        <w:jc w:val="both"/>
      </w:pPr>
      <w:r>
        <w:t xml:space="preserve">Необходимость подготовки кадров Решение проблемы </w:t>
      </w:r>
      <w:proofErr w:type="spellStart"/>
      <w:r>
        <w:t>интероперабельности</w:t>
      </w:r>
      <w:proofErr w:type="spellEnd"/>
      <w:r>
        <w:t xml:space="preserve"> в </w:t>
      </w:r>
      <w:proofErr w:type="spellStart"/>
      <w:r>
        <w:t>Industry</w:t>
      </w:r>
      <w:proofErr w:type="spellEnd"/>
      <w:r>
        <w:t xml:space="preserve"> 4.0 и во всех смежных областях требует подготовки кадров, как в рамках основного, так и дополнительного высшего образования. Здесь могут быть привлечены ведущие вузы, такие как МИРЭА и РОСНОУ. Настоящая</w:t>
      </w:r>
      <w:r>
        <w:t xml:space="preserve"> </w:t>
      </w:r>
      <w:r>
        <w:t xml:space="preserve">работа выполнена при поддержке гранта РФФИ № 19-07-00774. </w:t>
      </w:r>
    </w:p>
    <w:p w:rsidR="00407874" w:rsidRDefault="00407874" w:rsidP="00407874">
      <w:pPr>
        <w:ind w:firstLine="426"/>
        <w:jc w:val="both"/>
        <w:rPr>
          <w:b/>
        </w:rPr>
      </w:pPr>
    </w:p>
    <w:p w:rsidR="00407874" w:rsidRDefault="00407874" w:rsidP="00407874">
      <w:pPr>
        <w:ind w:firstLine="426"/>
        <w:jc w:val="both"/>
      </w:pPr>
      <w:r w:rsidRPr="00407874">
        <w:rPr>
          <w:b/>
        </w:rPr>
        <w:lastRenderedPageBreak/>
        <w:t>Заключение</w:t>
      </w:r>
      <w:r>
        <w:t xml:space="preserve"> </w:t>
      </w:r>
    </w:p>
    <w:p w:rsidR="00407874" w:rsidRDefault="00407874" w:rsidP="00407874">
      <w:pPr>
        <w:ind w:firstLine="426"/>
        <w:jc w:val="both"/>
      </w:pPr>
      <w:r>
        <w:t xml:space="preserve">На основании изложенного можно сделать следующее заключение: 1. Обеспечение </w:t>
      </w:r>
      <w:proofErr w:type="spellStart"/>
      <w:r>
        <w:t>интероперабельности</w:t>
      </w:r>
      <w:proofErr w:type="spellEnd"/>
      <w:r>
        <w:t xml:space="preserve"> представляет собой ключевой фактор в реализации платформы </w:t>
      </w:r>
      <w:proofErr w:type="spellStart"/>
      <w:r>
        <w:t>Industry</w:t>
      </w:r>
      <w:proofErr w:type="spellEnd"/>
      <w:r>
        <w:t xml:space="preserve"> 4.0 и в смежных областях, в первую очередь, в обороноспособности страны. 2. Включение представителей РФ в реализацию </w:t>
      </w:r>
      <w:proofErr w:type="spellStart"/>
      <w:r>
        <w:t>Industry</w:t>
      </w:r>
      <w:proofErr w:type="spellEnd"/>
      <w:r>
        <w:t xml:space="preserve"> 4.0, заключение соответствующих соглашений, создание Центра компетенций в области стандартизации информационных технологий дают основание надеяться на то, что работы по ИКТ-стандартизации в том числе разработка стандартов, необходимых для обеспечения </w:t>
      </w:r>
      <w:proofErr w:type="spellStart"/>
      <w:r>
        <w:t>интероперабельности</w:t>
      </w:r>
      <w:proofErr w:type="spellEnd"/>
      <w:r>
        <w:t xml:space="preserve">, создание национальных стандартов перейдет на качественно новый уровень. 3. Институт радиотехники и электроники им. </w:t>
      </w:r>
      <w:proofErr w:type="spellStart"/>
      <w:r>
        <w:t>В.А.Котельникова</w:t>
      </w:r>
      <w:proofErr w:type="spellEnd"/>
      <w:r>
        <w:t xml:space="preserve"> РАН, ПК206/ТК22 готовы, имея достаточный опыт, принять активное участие в реализации </w:t>
      </w:r>
      <w:proofErr w:type="spellStart"/>
      <w:r>
        <w:t>Industry</w:t>
      </w:r>
      <w:proofErr w:type="spellEnd"/>
      <w:r>
        <w:t xml:space="preserve"> 4.0, деятельности Центра компетенции в части решения проблемы </w:t>
      </w:r>
      <w:proofErr w:type="spellStart"/>
      <w:r>
        <w:t>интероперабельности</w:t>
      </w:r>
      <w:proofErr w:type="spellEnd"/>
      <w:r>
        <w:t xml:space="preserve">. </w:t>
      </w:r>
    </w:p>
    <w:p w:rsidR="00407874" w:rsidRDefault="00407874" w:rsidP="00407874">
      <w:pPr>
        <w:ind w:firstLine="426"/>
        <w:jc w:val="both"/>
      </w:pPr>
      <w:r>
        <w:t xml:space="preserve"> </w:t>
      </w:r>
    </w:p>
    <w:p w:rsidR="00407874" w:rsidRDefault="00407874" w:rsidP="00407874">
      <w:pPr>
        <w:ind w:firstLine="426"/>
        <w:jc w:val="both"/>
      </w:pPr>
      <w:r>
        <w:t xml:space="preserve">Список литературы </w:t>
      </w:r>
    </w:p>
    <w:p w:rsidR="00407874" w:rsidRDefault="00407874" w:rsidP="00407874">
      <w:pPr>
        <w:ind w:firstLine="426"/>
        <w:jc w:val="both"/>
      </w:pPr>
      <w:r>
        <w:t xml:space="preserve"> </w:t>
      </w:r>
    </w:p>
    <w:p w:rsidR="00B84A65" w:rsidRDefault="00407874" w:rsidP="00407874">
      <w:pPr>
        <w:ind w:firstLine="426"/>
        <w:jc w:val="both"/>
      </w:pPr>
      <w:r>
        <w:t xml:space="preserve">1. Технологии и системы управления в металлообрабатывающей промышленности: 6 составляющих </w:t>
      </w:r>
      <w:proofErr w:type="spellStart"/>
      <w:r>
        <w:t>Industry</w:t>
      </w:r>
      <w:proofErr w:type="spellEnd"/>
      <w:r>
        <w:t xml:space="preserve"> 4.0 [Электронный ресурс]. URL: http://www.plm.pw/2016/09/The-6-Factors-of-Industry-4.0.html (дата обращения: 19.02.2019).</w:t>
      </w:r>
    </w:p>
    <w:p w:rsidR="00B84A65" w:rsidRDefault="00407874" w:rsidP="00407874">
      <w:pPr>
        <w:ind w:firstLine="426"/>
        <w:jc w:val="both"/>
        <w:rPr>
          <w:lang w:val="en-US"/>
        </w:rPr>
      </w:pPr>
      <w:r w:rsidRPr="00B84A65">
        <w:rPr>
          <w:lang w:val="en-US"/>
        </w:rPr>
        <w:t xml:space="preserve"> </w:t>
      </w:r>
      <w:r w:rsidRPr="00407874">
        <w:rPr>
          <w:lang w:val="en-US"/>
        </w:rPr>
        <w:t xml:space="preserve">2. Yang Lu, Industry 4.0: A Survey on Technologies, Applications and Open Research Issues, Journal of Industrial Information Integration (2017), </w:t>
      </w:r>
      <w:proofErr w:type="spellStart"/>
      <w:r w:rsidRPr="00407874">
        <w:rPr>
          <w:lang w:val="en-US"/>
        </w:rPr>
        <w:t>doi</w:t>
      </w:r>
      <w:proofErr w:type="spellEnd"/>
      <w:r w:rsidRPr="00407874">
        <w:rPr>
          <w:lang w:val="en-US"/>
        </w:rPr>
        <w:t xml:space="preserve">: 10.1016/j.jii.2017.04.005 </w:t>
      </w:r>
    </w:p>
    <w:p w:rsidR="00B84A65" w:rsidRDefault="00407874" w:rsidP="00407874">
      <w:pPr>
        <w:ind w:firstLine="426"/>
        <w:jc w:val="both"/>
      </w:pPr>
      <w:r w:rsidRPr="00B84A65">
        <w:t xml:space="preserve">3. </w:t>
      </w:r>
      <w:r>
        <w:t xml:space="preserve">Программа «Цифровая экономика» РФ [Электронный ресурс]. URL: http://static.government.ru/media/files/9gFM4FHj4PsB79I5v7yLVu Pgu4bvR7M0.pdf (дата обращения: 19.02.2019). </w:t>
      </w:r>
    </w:p>
    <w:p w:rsidR="00407874" w:rsidRDefault="00407874" w:rsidP="00407874">
      <w:pPr>
        <w:ind w:firstLine="426"/>
        <w:jc w:val="both"/>
      </w:pPr>
      <w:r>
        <w:t>4. А.</w:t>
      </w:r>
      <w:bookmarkStart w:id="0" w:name="_GoBack"/>
      <w:bookmarkEnd w:id="0"/>
      <w:r>
        <w:t xml:space="preserve">А. Каменщиков, А.Я. Олейников, Роль </w:t>
      </w:r>
      <w:proofErr w:type="spellStart"/>
      <w:r>
        <w:t>интероперабельности</w:t>
      </w:r>
      <w:proofErr w:type="spellEnd"/>
      <w:r>
        <w:t xml:space="preserve"> в цифровой экономике и обороноспособности страны // ЖУРНАЛ "Электронный научный журнал "ИТ-Стандарт"", Издательство: Общество с ограниченной ответственностью "</w:t>
      </w:r>
      <w:proofErr w:type="spellStart"/>
      <w:r>
        <w:t>Информационноаналитический</w:t>
      </w:r>
      <w:proofErr w:type="spellEnd"/>
      <w:r>
        <w:t xml:space="preserve"> вычислительный центр" (Москва), Том: 1 Номер: 4-1 (10) Год: 2017 стр.: 31-35  </w:t>
      </w:r>
    </w:p>
    <w:p w:rsidR="00B84A65" w:rsidRDefault="00407874" w:rsidP="00407874">
      <w:pPr>
        <w:ind w:firstLine="426"/>
        <w:jc w:val="both"/>
      </w:pPr>
      <w:r>
        <w:t>5. Максим Акимов назвал задачи цифровой трансформации в 2019 году | Экспертный центр электронного государства [Электронный ресурс]. URL: http://d-russia.ru/maksim-akimov-nazval-zadachi-tsifrovojtransformatsii-v-2019-godu.html (дата обращения: 19.02.2019).</w:t>
      </w:r>
    </w:p>
    <w:p w:rsidR="00B84A65" w:rsidRDefault="00407874" w:rsidP="00407874">
      <w:pPr>
        <w:ind w:firstLine="426"/>
        <w:jc w:val="both"/>
      </w:pPr>
      <w:r>
        <w:t xml:space="preserve"> 6. Гуляев Ю.В., Журавлев Е.Е., Олейников А.Я. Методология стандартизации для обеспечения </w:t>
      </w:r>
      <w:proofErr w:type="spellStart"/>
      <w:r>
        <w:t>интероперабельности</w:t>
      </w:r>
      <w:proofErr w:type="spellEnd"/>
      <w:r>
        <w:t xml:space="preserve"> информационных систем широкого класса // [электронный ресурс] Журнал радиоэлектроники (электронный журнал, ISSN 1684-1719), URL: http://jre.cplire.ru/alt/mar12/2/text.pdf, 2012, № 3 (дата обращения: 19.02.2019) </w:t>
      </w:r>
    </w:p>
    <w:p w:rsidR="00B84A65" w:rsidRDefault="00407874" w:rsidP="00407874">
      <w:pPr>
        <w:ind w:firstLine="426"/>
        <w:jc w:val="both"/>
      </w:pPr>
      <w:r>
        <w:t xml:space="preserve">7. </w:t>
      </w:r>
      <w:proofErr w:type="spellStart"/>
      <w:r>
        <w:t>Сетецентрическая</w:t>
      </w:r>
      <w:proofErr w:type="spellEnd"/>
      <w:r>
        <w:t xml:space="preserve"> система управления что вкладывается в это понятие? - PDF [Электронный ресурс]. URL: http://docplayer.ru/19261Setecentricheskaya-sistema-upravleniya-chto-vkladyvaetsya-v-etoponyatie.html (дата обращения: 19.02.2019). </w:t>
      </w:r>
    </w:p>
    <w:p w:rsidR="00407874" w:rsidRDefault="00407874" w:rsidP="00407874">
      <w:pPr>
        <w:ind w:firstLine="426"/>
        <w:jc w:val="both"/>
      </w:pPr>
      <w:r>
        <w:t xml:space="preserve">8. Башлыкова А.А., Олейников А.Я. </w:t>
      </w:r>
      <w:proofErr w:type="spellStart"/>
      <w:r>
        <w:t>Интероперабельность</w:t>
      </w:r>
      <w:proofErr w:type="spellEnd"/>
      <w:r>
        <w:t xml:space="preserve"> и информационное противоборство в военной сфере. // Журнал радиоэлектроники: электронный журнал. – 2016. – N12. URL: http://jre.cplire.ru/jre/nov16/8/text.pdf (дата обращения: 19.02.2019). </w:t>
      </w:r>
    </w:p>
    <w:p w:rsidR="00407874" w:rsidRDefault="00407874" w:rsidP="00407874">
      <w:pPr>
        <w:ind w:firstLine="426"/>
        <w:jc w:val="both"/>
      </w:pPr>
      <w:r>
        <w:t xml:space="preserve"> </w:t>
      </w:r>
    </w:p>
    <w:p w:rsidR="00A324DC" w:rsidRDefault="00A324DC" w:rsidP="00407874">
      <w:pPr>
        <w:ind w:firstLine="426"/>
        <w:jc w:val="both"/>
      </w:pPr>
    </w:p>
    <w:sectPr w:rsidR="00A3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E1" w:rsidRDefault="006F46E1" w:rsidP="00407874">
      <w:pPr>
        <w:spacing w:after="0" w:line="240" w:lineRule="auto"/>
      </w:pPr>
      <w:r>
        <w:separator/>
      </w:r>
    </w:p>
  </w:endnote>
  <w:endnote w:type="continuationSeparator" w:id="0">
    <w:p w:rsidR="006F46E1" w:rsidRDefault="006F46E1" w:rsidP="004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E1" w:rsidRDefault="006F46E1" w:rsidP="00407874">
      <w:pPr>
        <w:spacing w:after="0" w:line="240" w:lineRule="auto"/>
      </w:pPr>
      <w:r>
        <w:separator/>
      </w:r>
    </w:p>
  </w:footnote>
  <w:footnote w:type="continuationSeparator" w:id="0">
    <w:p w:rsidR="006F46E1" w:rsidRDefault="006F46E1" w:rsidP="00407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74"/>
    <w:rsid w:val="00407874"/>
    <w:rsid w:val="006F46E1"/>
    <w:rsid w:val="00A324DC"/>
    <w:rsid w:val="00A951DE"/>
    <w:rsid w:val="00B84A65"/>
    <w:rsid w:val="00D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542"/>
  <w15:chartTrackingRefBased/>
  <w15:docId w15:val="{74169CFB-9414-40BA-BCCB-853C26A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алендаря"/>
    <w:basedOn w:val="1"/>
    <w:link w:val="a4"/>
    <w:qFormat/>
    <w:rsid w:val="00A324DC"/>
    <w:pPr>
      <w:spacing w:line="240" w:lineRule="auto"/>
      <w:jc w:val="center"/>
    </w:pPr>
    <w:rPr>
      <w:rFonts w:ascii="Monotype Corsiva" w:hAnsi="Monotype Corsiva"/>
      <w:b/>
      <w:color w:val="FFFFFF" w:themeColor="background1"/>
      <w:sz w:val="72"/>
      <w:szCs w:val="72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календаря Знак"/>
    <w:basedOn w:val="10"/>
    <w:link w:val="a3"/>
    <w:rsid w:val="00A324DC"/>
    <w:rPr>
      <w:rFonts w:ascii="Monotype Corsiva" w:eastAsiaTheme="majorEastAsia" w:hAnsi="Monotype Corsiva" w:cstheme="majorBidi"/>
      <w:b/>
      <w:color w:val="FFFFFF" w:themeColor="background1"/>
      <w:sz w:val="72"/>
      <w:szCs w:val="72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A3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874"/>
  </w:style>
  <w:style w:type="paragraph" w:styleId="a7">
    <w:name w:val="footer"/>
    <w:basedOn w:val="a"/>
    <w:link w:val="a8"/>
    <w:uiPriority w:val="99"/>
    <w:unhideWhenUsed/>
    <w:rsid w:val="004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2019-12-06T08:13:00Z</dcterms:created>
  <dcterms:modified xsi:type="dcterms:W3CDTF">2019-12-06T08:26:00Z</dcterms:modified>
</cp:coreProperties>
</file>