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83" w:rsidRPr="00F25354" w:rsidRDefault="00EE0F83" w:rsidP="00EE0F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lang w:val="en-US" w:eastAsia="ru-RU"/>
        </w:rPr>
      </w:pPr>
      <w:proofErr w:type="gramStart"/>
      <w:r w:rsidRPr="009C20F8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BA118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F355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5039B">
        <w:rPr>
          <w:rFonts w:ascii="Times New Roman" w:hAnsi="Times New Roman" w:cs="Times New Roman"/>
          <w:b/>
          <w:bCs/>
          <w:lang w:val="en-US" w:eastAsia="ru-RU"/>
        </w:rPr>
        <w:t xml:space="preserve">E. A. </w:t>
      </w:r>
      <w:proofErr w:type="spellStart"/>
      <w:r w:rsidRPr="00E5039B">
        <w:rPr>
          <w:rFonts w:ascii="Times New Roman" w:hAnsi="Times New Roman" w:cs="Times New Roman"/>
          <w:b/>
          <w:bCs/>
          <w:lang w:val="en-US" w:eastAsia="ru-RU"/>
        </w:rPr>
        <w:t>Myasin</w:t>
      </w:r>
      <w:proofErr w:type="spellEnd"/>
      <w:r w:rsidRPr="00E5039B">
        <w:rPr>
          <w:rFonts w:ascii="Times New Roman" w:hAnsi="Times New Roman" w:cs="Times New Roman"/>
          <w:b/>
          <w:bCs/>
          <w:lang w:val="en-US" w:eastAsia="ru-RU"/>
        </w:rPr>
        <w:t xml:space="preserve">, V. V. </w:t>
      </w:r>
      <w:proofErr w:type="spellStart"/>
      <w:r w:rsidRPr="00E5039B">
        <w:rPr>
          <w:rFonts w:ascii="Times New Roman" w:hAnsi="Times New Roman" w:cs="Times New Roman"/>
          <w:b/>
          <w:bCs/>
          <w:lang w:val="en-US" w:eastAsia="ru-RU"/>
        </w:rPr>
        <w:t>Evdokimov</w:t>
      </w:r>
      <w:proofErr w:type="spellEnd"/>
      <w:r w:rsidRPr="00E5039B">
        <w:rPr>
          <w:rFonts w:ascii="Times New Roman" w:hAnsi="Times New Roman" w:cs="Times New Roman"/>
          <w:b/>
          <w:bCs/>
          <w:lang w:val="en-US" w:eastAsia="ru-RU"/>
        </w:rPr>
        <w:t>, and A. Yu.</w:t>
      </w:r>
      <w:proofErr w:type="gramEnd"/>
      <w:r w:rsidRPr="00E5039B">
        <w:rPr>
          <w:rFonts w:ascii="Times New Roman" w:hAnsi="Times New Roman" w:cs="Times New Roman"/>
          <w:b/>
          <w:bCs/>
          <w:lang w:val="en-US" w:eastAsia="ru-RU"/>
        </w:rPr>
        <w:t xml:space="preserve"> </w:t>
      </w:r>
      <w:proofErr w:type="spellStart"/>
      <w:r w:rsidRPr="00E5039B">
        <w:rPr>
          <w:rFonts w:ascii="Times New Roman" w:hAnsi="Times New Roman" w:cs="Times New Roman"/>
          <w:b/>
          <w:bCs/>
          <w:lang w:val="en-US" w:eastAsia="ru-RU"/>
        </w:rPr>
        <w:t>Il’in</w:t>
      </w:r>
      <w:proofErr w:type="spellEnd"/>
      <w:r w:rsidRPr="00E5039B">
        <w:rPr>
          <w:rFonts w:ascii="Times New Roman" w:hAnsi="Times New Roman" w:cs="Times New Roman"/>
          <w:lang w:val="en-US"/>
        </w:rPr>
        <w:t xml:space="preserve">  </w:t>
      </w:r>
      <w:r w:rsidRPr="00E5039B">
        <w:rPr>
          <w:rFonts w:ascii="Times New Roman" w:hAnsi="Times New Roman" w:cs="Times New Roman"/>
          <w:lang w:val="en-US" w:eastAsia="ru-RU"/>
        </w:rPr>
        <w:t xml:space="preserve">A Method for Evaluating the Generation Power of </w:t>
      </w:r>
      <w:proofErr w:type="spellStart"/>
      <w:r w:rsidRPr="00E5039B">
        <w:rPr>
          <w:rFonts w:ascii="Times New Roman" w:hAnsi="Times New Roman" w:cs="Times New Roman"/>
          <w:lang w:val="en-US" w:eastAsia="ru-RU"/>
        </w:rPr>
        <w:t>Orotrons</w:t>
      </w:r>
      <w:proofErr w:type="spellEnd"/>
      <w:r w:rsidRPr="00E5039B">
        <w:rPr>
          <w:rFonts w:ascii="Times New Roman" w:hAnsi="Times New Roman" w:cs="Times New Roman"/>
          <w:lang w:val="en-US" w:eastAsia="ru-RU"/>
        </w:rPr>
        <w:t xml:space="preserve"> with a Two-Row Periodic Structure in the Frequency Range of 180–400 GHz</w:t>
      </w:r>
      <w:r w:rsidRPr="00E5039B">
        <w:rPr>
          <w:rFonts w:ascii="Times New Roman" w:hAnsi="Times New Roman" w:cs="Times New Roman"/>
          <w:b/>
          <w:bCs/>
          <w:lang w:val="en-US" w:eastAsia="ru-RU"/>
        </w:rPr>
        <w:t>//</w:t>
      </w:r>
      <w:r w:rsidRPr="00E5039B">
        <w:rPr>
          <w:rFonts w:ascii="Times New Roman" w:hAnsi="Times New Roman" w:cs="Times New Roman"/>
          <w:i/>
          <w:iCs/>
          <w:lang w:val="en-US" w:eastAsia="ru-RU"/>
        </w:rPr>
        <w:t xml:space="preserve"> ISSN 0020-4412, Instruments and Experimental Techniques, 2023, Vol. 66, No. 2, pp. 243–248. © Pleiades Publishing, Ltd., 2023.</w:t>
      </w:r>
      <w:r>
        <w:rPr>
          <w:rFonts w:ascii="Times New Roman" w:hAnsi="Times New Roman" w:cs="Times New Roman"/>
          <w:i/>
          <w:iCs/>
          <w:lang w:val="en-US" w:eastAsia="ru-RU"/>
        </w:rPr>
        <w:t xml:space="preserve">   </w:t>
      </w:r>
    </w:p>
    <w:p w:rsidR="00EE0F83" w:rsidRPr="00DC5D39" w:rsidRDefault="00EE0F83" w:rsidP="00EE0F83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C5D39">
        <w:rPr>
          <w:color w:val="000000"/>
          <w:sz w:val="24"/>
          <w:szCs w:val="24"/>
          <w:lang w:val="en-US" w:eastAsia="ru-RU"/>
        </w:rPr>
        <w:t xml:space="preserve">  </w:t>
      </w:r>
      <w:r w:rsidRPr="00DC5D39">
        <w:rPr>
          <w:color w:val="000000"/>
          <w:sz w:val="24"/>
          <w:szCs w:val="24"/>
          <w:lang w:eastAsia="ru-RU"/>
        </w:rPr>
        <w:t>DOI: 10.1134/S0020441223020070</w:t>
      </w:r>
    </w:p>
    <w:p w:rsidR="002634C4" w:rsidRDefault="002634C4"/>
    <w:sectPr w:rsidR="002634C4" w:rsidSect="0026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F83"/>
    <w:rsid w:val="002634C4"/>
    <w:rsid w:val="00EE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8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Myasin</dc:creator>
  <cp:keywords/>
  <dc:description/>
  <cp:lastModifiedBy>Myasin</cp:lastModifiedBy>
  <cp:revision>2</cp:revision>
  <dcterms:created xsi:type="dcterms:W3CDTF">2023-11-21T15:11:00Z</dcterms:created>
  <dcterms:modified xsi:type="dcterms:W3CDTF">2023-11-21T15:12:00Z</dcterms:modified>
</cp:coreProperties>
</file>